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C178" w14:textId="38B80505" w:rsidR="006665AD" w:rsidRDefault="00E35FFF" w:rsidP="00101B19">
      <w:pPr>
        <w:ind w:right="-46"/>
      </w:pPr>
      <w:r>
        <w:rPr>
          <w:noProof/>
        </w:rPr>
        <w:drawing>
          <wp:anchor distT="0" distB="0" distL="114300" distR="114300" simplePos="0" relativeHeight="251658240" behindDoc="1" locked="0" layoutInCell="1" allowOverlap="1" wp14:anchorId="50C19B0A" wp14:editId="7A4E1BB1">
            <wp:simplePos x="0" y="0"/>
            <wp:positionH relativeFrom="column">
              <wp:posOffset>180975</wp:posOffset>
            </wp:positionH>
            <wp:positionV relativeFrom="paragraph">
              <wp:posOffset>-4445</wp:posOffset>
            </wp:positionV>
            <wp:extent cx="5419725" cy="1837994"/>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419725" cy="1837994"/>
                    </a:xfrm>
                    <a:prstGeom prst="rect">
                      <a:avLst/>
                    </a:prstGeom>
                  </pic:spPr>
                </pic:pic>
              </a:graphicData>
            </a:graphic>
          </wp:anchor>
        </w:drawing>
      </w:r>
    </w:p>
    <w:p w14:paraId="4DDC7B0C" w14:textId="77777777" w:rsidR="00101B19" w:rsidRDefault="00101B19" w:rsidP="00E35FFF">
      <w:pPr>
        <w:pStyle w:val="Subtitle"/>
        <w:jc w:val="center"/>
        <w:rPr>
          <w:rFonts w:ascii="Avenir Next LT Pro" w:hAnsi="Avenir Next LT Pro"/>
          <w:color w:val="7B7B7B" w:themeColor="accent3" w:themeShade="BF"/>
        </w:rPr>
      </w:pPr>
    </w:p>
    <w:p w14:paraId="4A01D6AE" w14:textId="77777777" w:rsidR="00101B19" w:rsidRDefault="00101B19" w:rsidP="00E35FFF">
      <w:pPr>
        <w:pStyle w:val="Subtitle"/>
        <w:jc w:val="center"/>
        <w:rPr>
          <w:rFonts w:ascii="Avenir Next LT Pro" w:hAnsi="Avenir Next LT Pro"/>
          <w:color w:val="7B7B7B" w:themeColor="accent3" w:themeShade="BF"/>
        </w:rPr>
      </w:pPr>
    </w:p>
    <w:p w14:paraId="6305FE68" w14:textId="77777777" w:rsidR="00101B19" w:rsidRDefault="00101B19" w:rsidP="00E35FFF">
      <w:pPr>
        <w:pStyle w:val="Subtitle"/>
        <w:jc w:val="center"/>
        <w:rPr>
          <w:rFonts w:ascii="Avenir Next LT Pro" w:hAnsi="Avenir Next LT Pro"/>
          <w:color w:val="7B7B7B" w:themeColor="accent3" w:themeShade="BF"/>
        </w:rPr>
      </w:pPr>
    </w:p>
    <w:p w14:paraId="69F320C3" w14:textId="33C35F62" w:rsidR="00E35FFF" w:rsidRPr="00504A9D" w:rsidRDefault="00B36908" w:rsidP="00E35FFF">
      <w:pPr>
        <w:pStyle w:val="Subtitle"/>
        <w:jc w:val="center"/>
        <w:rPr>
          <w:rStyle w:val="Bold"/>
          <w:rFonts w:ascii="Avenir Next LT Pro" w:hAnsi="Avenir Next LT Pro"/>
          <w:b/>
          <w:bCs/>
          <w:color w:val="7B7B7B" w:themeColor="accent3" w:themeShade="BF"/>
        </w:rPr>
      </w:pPr>
      <w:r>
        <w:rPr>
          <w:rFonts w:ascii="Avenir Next LT Pro" w:hAnsi="Avenir Next LT Pro"/>
          <w:color w:val="7B7B7B" w:themeColor="accent3" w:themeShade="BF"/>
        </w:rPr>
        <w:t>Res</w:t>
      </w:r>
      <w:r w:rsidR="00417735">
        <w:rPr>
          <w:rFonts w:ascii="Avenir Next LT Pro" w:hAnsi="Avenir Next LT Pro"/>
          <w:color w:val="7B7B7B" w:themeColor="accent3" w:themeShade="BF"/>
        </w:rPr>
        <w:t>ource</w:t>
      </w:r>
      <w:r w:rsidR="00760BED">
        <w:rPr>
          <w:rFonts w:ascii="Avenir Next LT Pro" w:hAnsi="Avenir Next LT Pro"/>
          <w:color w:val="7B7B7B" w:themeColor="accent3" w:themeShade="BF"/>
        </w:rPr>
        <w:t xml:space="preserve"> Clearinghouse</w:t>
      </w:r>
    </w:p>
    <w:tbl>
      <w:tblPr>
        <w:tblStyle w:val="TableGrid"/>
        <w:tblW w:w="11196" w:type="dxa"/>
        <w:tblInd w:w="-993" w:type="dxa"/>
        <w:tblLook w:val="04A0" w:firstRow="1" w:lastRow="0" w:firstColumn="1" w:lastColumn="0" w:noHBand="0" w:noVBand="1"/>
      </w:tblPr>
      <w:tblGrid>
        <w:gridCol w:w="11226"/>
      </w:tblGrid>
      <w:tr w:rsidR="00E35FFF" w14:paraId="277C9B68" w14:textId="77777777" w:rsidTr="00E03E8F">
        <w:tc>
          <w:tcPr>
            <w:tcW w:w="11196" w:type="dxa"/>
            <w:tcBorders>
              <w:top w:val="nil"/>
              <w:left w:val="nil"/>
              <w:bottom w:val="nil"/>
              <w:right w:val="nil"/>
            </w:tcBorders>
          </w:tcPr>
          <w:p w14:paraId="05A17339" w14:textId="11DBB7F8" w:rsidR="00E35FFF" w:rsidRDefault="00101B19">
            <w:r>
              <w:rPr>
                <w:noProof/>
              </w:rPr>
              <w:drawing>
                <wp:inline distT="0" distB="0" distL="0" distR="0" wp14:anchorId="5207A1AC" wp14:editId="78EA0746">
                  <wp:extent cx="6870700" cy="1314450"/>
                  <wp:effectExtent l="57150" t="57150" r="63500" b="57150"/>
                  <wp:docPr id="15" name="Diagram 15">
                    <a:extLst xmlns:a="http://schemas.openxmlformats.org/drawingml/2006/main">
                      <a:ext uri="{FF2B5EF4-FFF2-40B4-BE49-F238E27FC236}">
                        <a16:creationId xmlns:a16="http://schemas.microsoft.com/office/drawing/2014/main" id="{37B4A59F-E3ED-4CF8-B48E-0C04807E84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D194715" w14:textId="597ECCE3" w:rsidR="00E35FFF" w:rsidRDefault="00E35FFF" w:rsidP="00E35FFF">
            <w:pPr>
              <w:ind w:left="-971" w:firstLine="971"/>
            </w:pPr>
          </w:p>
          <w:p w14:paraId="25798836" w14:textId="741F27CE" w:rsidR="00E35FFF" w:rsidRDefault="00A9617F" w:rsidP="00E35FFF">
            <w:pPr>
              <w:tabs>
                <w:tab w:val="left" w:pos="7080"/>
              </w:tabs>
            </w:pPr>
            <w:r w:rsidRPr="00417735">
              <w:rPr>
                <w:noProof/>
              </w:rPr>
              <w:drawing>
                <wp:anchor distT="0" distB="0" distL="114300" distR="114300" simplePos="0" relativeHeight="251659264" behindDoc="0" locked="0" layoutInCell="1" allowOverlap="1" wp14:anchorId="19106E77" wp14:editId="43956524">
                  <wp:simplePos x="0" y="0"/>
                  <wp:positionH relativeFrom="column">
                    <wp:posOffset>1257300</wp:posOffset>
                  </wp:positionH>
                  <wp:positionV relativeFrom="paragraph">
                    <wp:posOffset>138430</wp:posOffset>
                  </wp:positionV>
                  <wp:extent cx="4168140" cy="2628900"/>
                  <wp:effectExtent l="0" t="0" r="3810" b="0"/>
                  <wp:wrapSquare wrapText="bothSides"/>
                  <wp:docPr id="4" name="Content Placeholder 3" descr="A picture containing diagram&#10;&#10;Description automatically generated">
                    <a:extLst xmlns:a="http://schemas.openxmlformats.org/drawingml/2006/main">
                      <a:ext uri="{FF2B5EF4-FFF2-40B4-BE49-F238E27FC236}">
                        <a16:creationId xmlns:a16="http://schemas.microsoft.com/office/drawing/2014/main" id="{94CB798F-4B08-4066-90D7-876006E7E8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picture containing diagram&#10;&#10;Description automatically generated">
                            <a:extLst>
                              <a:ext uri="{FF2B5EF4-FFF2-40B4-BE49-F238E27FC236}">
                                <a16:creationId xmlns:a16="http://schemas.microsoft.com/office/drawing/2014/main" id="{94CB798F-4B08-4066-90D7-876006E7E830}"/>
                              </a:ext>
                            </a:extLst>
                          </pic:cNvPr>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168140" cy="2628900"/>
                          </a:xfrm>
                          <a:prstGeom prst="rect">
                            <a:avLst/>
                          </a:prstGeom>
                        </pic:spPr>
                      </pic:pic>
                    </a:graphicData>
                  </a:graphic>
                  <wp14:sizeRelH relativeFrom="margin">
                    <wp14:pctWidth>0</wp14:pctWidth>
                  </wp14:sizeRelH>
                  <wp14:sizeRelV relativeFrom="margin">
                    <wp14:pctHeight>0</wp14:pctHeight>
                  </wp14:sizeRelV>
                </wp:anchor>
              </w:drawing>
            </w:r>
            <w:r w:rsidR="00E35FFF">
              <w:tab/>
            </w:r>
          </w:p>
        </w:tc>
      </w:tr>
      <w:tr w:rsidR="00E03E8F" w14:paraId="084CA086" w14:textId="77777777" w:rsidTr="00E03E8F">
        <w:tc>
          <w:tcPr>
            <w:tcW w:w="11196" w:type="dxa"/>
            <w:tcBorders>
              <w:top w:val="nil"/>
              <w:left w:val="nil"/>
              <w:bottom w:val="nil"/>
              <w:right w:val="nil"/>
            </w:tcBorders>
          </w:tcPr>
          <w:p w14:paraId="49B93161" w14:textId="6E6A03C2" w:rsidR="00E03E8F" w:rsidRDefault="00E03E8F"/>
          <w:p w14:paraId="61C61CD2" w14:textId="3ED9590E" w:rsidR="001178FA" w:rsidRDefault="001178FA" w:rsidP="001178FA">
            <w:pPr>
              <w:jc w:val="center"/>
            </w:pPr>
          </w:p>
        </w:tc>
      </w:tr>
    </w:tbl>
    <w:p w14:paraId="03F55CC6" w14:textId="7519FD3C" w:rsidR="00E35FFF" w:rsidRDefault="00E35FFF" w:rsidP="00A9617F">
      <w:pPr>
        <w:pStyle w:val="Subtitle"/>
        <w:jc w:val="center"/>
        <w:rPr>
          <w:rFonts w:ascii="Avenir Next LT Pro" w:hAnsi="Avenir Next LT Pro"/>
          <w:color w:val="7B7B7B" w:themeColor="accent3" w:themeShade="BF"/>
        </w:rPr>
      </w:pPr>
      <w:r>
        <w:rPr>
          <w:rFonts w:ascii="Avenir Next LT Pro" w:hAnsi="Avenir Next LT Pro"/>
          <w:color w:val="7B7B7B" w:themeColor="accent3" w:themeShade="BF"/>
        </w:rPr>
        <w:t>Going Global in a Generation</w:t>
      </w:r>
    </w:p>
    <w:p w14:paraId="0114DED6" w14:textId="77777777" w:rsidR="0017385E" w:rsidRPr="0017385E" w:rsidRDefault="0017385E" w:rsidP="00E35FFF">
      <w:pPr>
        <w:pStyle w:val="Subtitle"/>
        <w:jc w:val="center"/>
        <w:rPr>
          <w:rFonts w:ascii="Avenir Next LT Pro" w:hAnsi="Avenir Next LT Pro"/>
          <w:color w:val="7B7B7B" w:themeColor="accent3" w:themeShade="BF"/>
          <w:sz w:val="16"/>
          <w:szCs w:val="16"/>
        </w:rPr>
      </w:pPr>
    </w:p>
    <w:p w14:paraId="1B4A10EA" w14:textId="23DB1117" w:rsidR="00E35FFF" w:rsidRDefault="00E35FFF" w:rsidP="00490A3D">
      <w:pPr>
        <w:pStyle w:val="Subtitle"/>
        <w:tabs>
          <w:tab w:val="left" w:pos="0"/>
        </w:tabs>
        <w:ind w:hanging="851"/>
        <w:jc w:val="center"/>
        <w:rPr>
          <w:rFonts w:ascii="Avenir Next LT Pro" w:hAnsi="Avenir Next LT Pro"/>
          <w:color w:val="7B7B7B" w:themeColor="accent3" w:themeShade="BF"/>
        </w:rPr>
      </w:pPr>
      <w:r>
        <w:rPr>
          <w:noProof/>
        </w:rPr>
        <w:drawing>
          <wp:inline distT="0" distB="0" distL="0" distR="0" wp14:anchorId="1EC45C7F" wp14:editId="601EFE5A">
            <wp:extent cx="6851650" cy="1847850"/>
            <wp:effectExtent l="57150" t="57150" r="63500" b="57150"/>
            <wp:docPr id="2" name="Diagram 2">
              <a:extLst xmlns:a="http://schemas.openxmlformats.org/drawingml/2006/main">
                <a:ext uri="{FF2B5EF4-FFF2-40B4-BE49-F238E27FC236}">
                  <a16:creationId xmlns:a16="http://schemas.microsoft.com/office/drawing/2014/main" id="{37B4A59F-E3ED-4CF8-B48E-0C04807E841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FB0BF7B" w14:textId="1146CDCA" w:rsidR="006665AD" w:rsidRPr="00490A3D" w:rsidRDefault="00CE74ED" w:rsidP="00E35FFF">
      <w:pPr>
        <w:pStyle w:val="Subtitle"/>
        <w:jc w:val="center"/>
        <w:rPr>
          <w:rFonts w:ascii="Avenir Next LT Pro" w:hAnsi="Avenir Next LT Pro"/>
          <w:color w:val="7B7B7B" w:themeColor="accent3" w:themeShade="BF"/>
          <w:sz w:val="36"/>
          <w:szCs w:val="36"/>
        </w:rPr>
      </w:pPr>
      <w:hyperlink r:id="rId17" w:history="1">
        <w:r w:rsidR="006665AD" w:rsidRPr="00490A3D">
          <w:rPr>
            <w:rStyle w:val="Hyperlink"/>
            <w:rFonts w:ascii="Avenir Next LT Pro" w:hAnsi="Avenir Next LT Pro"/>
            <w:color w:val="034990" w:themeColor="hyperlink" w:themeShade="BF"/>
            <w:sz w:val="36"/>
            <w:szCs w:val="36"/>
          </w:rPr>
          <w:t>www.theglobalnowproject.com</w:t>
        </w:r>
      </w:hyperlink>
    </w:p>
    <w:p w14:paraId="62E89F71" w14:textId="294149CC" w:rsidR="00E35FFF" w:rsidRPr="00490A3D" w:rsidRDefault="006665AD" w:rsidP="006665AD">
      <w:pPr>
        <w:pStyle w:val="Subtitle"/>
        <w:jc w:val="center"/>
        <w:rPr>
          <w:rFonts w:ascii="Avenir Next LT Pro" w:hAnsi="Avenir Next LT Pro"/>
          <w:b w:val="0"/>
          <w:bCs w:val="0"/>
          <w:i/>
          <w:iCs/>
          <w:color w:val="7B7B7B" w:themeColor="accent3" w:themeShade="BF"/>
          <w:sz w:val="28"/>
          <w:szCs w:val="28"/>
        </w:rPr>
      </w:pPr>
      <w:r w:rsidRPr="00490A3D">
        <w:rPr>
          <w:rFonts w:ascii="Avenir Next LT Pro" w:hAnsi="Avenir Next LT Pro"/>
          <w:b w:val="0"/>
          <w:bCs w:val="0"/>
          <w:i/>
          <w:iCs/>
          <w:color w:val="7B7B7B" w:themeColor="accent3" w:themeShade="BF"/>
          <w:sz w:val="28"/>
          <w:szCs w:val="28"/>
        </w:rPr>
        <w:lastRenderedPageBreak/>
        <w:t>info@theglobalnowproject.com</w:t>
      </w:r>
    </w:p>
    <w:sectPr w:rsidR="00E35FFF" w:rsidRPr="00490A3D" w:rsidSect="006665AD">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B2D0E"/>
    <w:multiLevelType w:val="hybridMultilevel"/>
    <w:tmpl w:val="46C8BB4C"/>
    <w:lvl w:ilvl="0" w:tplc="09A2CF24">
      <w:start w:val="1"/>
      <w:numFmt w:val="bullet"/>
      <w:lvlText w:val="•"/>
      <w:lvlJc w:val="left"/>
      <w:pPr>
        <w:tabs>
          <w:tab w:val="num" w:pos="720"/>
        </w:tabs>
        <w:ind w:left="720" w:hanging="360"/>
      </w:pPr>
      <w:rPr>
        <w:rFonts w:ascii="Times New Roman" w:hAnsi="Times New Roman" w:hint="default"/>
      </w:rPr>
    </w:lvl>
    <w:lvl w:ilvl="1" w:tplc="3CC24FAA" w:tentative="1">
      <w:start w:val="1"/>
      <w:numFmt w:val="bullet"/>
      <w:lvlText w:val="•"/>
      <w:lvlJc w:val="left"/>
      <w:pPr>
        <w:tabs>
          <w:tab w:val="num" w:pos="1440"/>
        </w:tabs>
        <w:ind w:left="1440" w:hanging="360"/>
      </w:pPr>
      <w:rPr>
        <w:rFonts w:ascii="Times New Roman" w:hAnsi="Times New Roman" w:hint="default"/>
      </w:rPr>
    </w:lvl>
    <w:lvl w:ilvl="2" w:tplc="9FEA766A" w:tentative="1">
      <w:start w:val="1"/>
      <w:numFmt w:val="bullet"/>
      <w:lvlText w:val="•"/>
      <w:lvlJc w:val="left"/>
      <w:pPr>
        <w:tabs>
          <w:tab w:val="num" w:pos="2160"/>
        </w:tabs>
        <w:ind w:left="2160" w:hanging="360"/>
      </w:pPr>
      <w:rPr>
        <w:rFonts w:ascii="Times New Roman" w:hAnsi="Times New Roman" w:hint="default"/>
      </w:rPr>
    </w:lvl>
    <w:lvl w:ilvl="3" w:tplc="1EBC8A88" w:tentative="1">
      <w:start w:val="1"/>
      <w:numFmt w:val="bullet"/>
      <w:lvlText w:val="•"/>
      <w:lvlJc w:val="left"/>
      <w:pPr>
        <w:tabs>
          <w:tab w:val="num" w:pos="2880"/>
        </w:tabs>
        <w:ind w:left="2880" w:hanging="360"/>
      </w:pPr>
      <w:rPr>
        <w:rFonts w:ascii="Times New Roman" w:hAnsi="Times New Roman" w:hint="default"/>
      </w:rPr>
    </w:lvl>
    <w:lvl w:ilvl="4" w:tplc="12BE5A1E" w:tentative="1">
      <w:start w:val="1"/>
      <w:numFmt w:val="bullet"/>
      <w:lvlText w:val="•"/>
      <w:lvlJc w:val="left"/>
      <w:pPr>
        <w:tabs>
          <w:tab w:val="num" w:pos="3600"/>
        </w:tabs>
        <w:ind w:left="3600" w:hanging="360"/>
      </w:pPr>
      <w:rPr>
        <w:rFonts w:ascii="Times New Roman" w:hAnsi="Times New Roman" w:hint="default"/>
      </w:rPr>
    </w:lvl>
    <w:lvl w:ilvl="5" w:tplc="B7B6474E" w:tentative="1">
      <w:start w:val="1"/>
      <w:numFmt w:val="bullet"/>
      <w:lvlText w:val="•"/>
      <w:lvlJc w:val="left"/>
      <w:pPr>
        <w:tabs>
          <w:tab w:val="num" w:pos="4320"/>
        </w:tabs>
        <w:ind w:left="4320" w:hanging="360"/>
      </w:pPr>
      <w:rPr>
        <w:rFonts w:ascii="Times New Roman" w:hAnsi="Times New Roman" w:hint="default"/>
      </w:rPr>
    </w:lvl>
    <w:lvl w:ilvl="6" w:tplc="EF149BE6" w:tentative="1">
      <w:start w:val="1"/>
      <w:numFmt w:val="bullet"/>
      <w:lvlText w:val="•"/>
      <w:lvlJc w:val="left"/>
      <w:pPr>
        <w:tabs>
          <w:tab w:val="num" w:pos="5040"/>
        </w:tabs>
        <w:ind w:left="5040" w:hanging="360"/>
      </w:pPr>
      <w:rPr>
        <w:rFonts w:ascii="Times New Roman" w:hAnsi="Times New Roman" w:hint="default"/>
      </w:rPr>
    </w:lvl>
    <w:lvl w:ilvl="7" w:tplc="580639AE" w:tentative="1">
      <w:start w:val="1"/>
      <w:numFmt w:val="bullet"/>
      <w:lvlText w:val="•"/>
      <w:lvlJc w:val="left"/>
      <w:pPr>
        <w:tabs>
          <w:tab w:val="num" w:pos="5760"/>
        </w:tabs>
        <w:ind w:left="5760" w:hanging="360"/>
      </w:pPr>
      <w:rPr>
        <w:rFonts w:ascii="Times New Roman" w:hAnsi="Times New Roman" w:hint="default"/>
      </w:rPr>
    </w:lvl>
    <w:lvl w:ilvl="8" w:tplc="3854787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FF"/>
    <w:rsid w:val="00014769"/>
    <w:rsid w:val="00101B19"/>
    <w:rsid w:val="001178FA"/>
    <w:rsid w:val="0017385E"/>
    <w:rsid w:val="001748A3"/>
    <w:rsid w:val="003269AC"/>
    <w:rsid w:val="00417735"/>
    <w:rsid w:val="00490A3D"/>
    <w:rsid w:val="006665AD"/>
    <w:rsid w:val="00760BED"/>
    <w:rsid w:val="0079292F"/>
    <w:rsid w:val="00903417"/>
    <w:rsid w:val="00943C74"/>
    <w:rsid w:val="00A05C80"/>
    <w:rsid w:val="00A902A0"/>
    <w:rsid w:val="00A9617F"/>
    <w:rsid w:val="00B36908"/>
    <w:rsid w:val="00BD3407"/>
    <w:rsid w:val="00C358F3"/>
    <w:rsid w:val="00CC2443"/>
    <w:rsid w:val="00CE74ED"/>
    <w:rsid w:val="00DE345F"/>
    <w:rsid w:val="00E03E8F"/>
    <w:rsid w:val="00E35FFF"/>
    <w:rsid w:val="00EA3ACF"/>
    <w:rsid w:val="00EB081F"/>
    <w:rsid w:val="00F300A3"/>
    <w:rsid w:val="00F546FF"/>
    <w:rsid w:val="00F96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65CF"/>
  <w15:chartTrackingRefBased/>
  <w15:docId w15:val="{D82AE796-A305-445E-9A00-D7B1F35B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3"/>
    <w:qFormat/>
    <w:rsid w:val="00E35FFF"/>
    <w:pPr>
      <w:numPr>
        <w:ilvl w:val="1"/>
      </w:numPr>
      <w:spacing w:before="200" w:after="0" w:line="300" w:lineRule="auto"/>
      <w:contextualSpacing/>
    </w:pPr>
    <w:rPr>
      <w:rFonts w:eastAsiaTheme="minorEastAsia"/>
      <w:b/>
      <w:bCs/>
      <w:color w:val="1F3864" w:themeColor="accent1" w:themeShade="80"/>
      <w:sz w:val="56"/>
      <w:szCs w:val="56"/>
      <w:lang w:val="en-US" w:eastAsia="ja-JP"/>
    </w:rPr>
  </w:style>
  <w:style w:type="character" w:customStyle="1" w:styleId="SubtitleChar">
    <w:name w:val="Subtitle Char"/>
    <w:basedOn w:val="DefaultParagraphFont"/>
    <w:link w:val="Subtitle"/>
    <w:uiPriority w:val="3"/>
    <w:rsid w:val="00E35FFF"/>
    <w:rPr>
      <w:rFonts w:eastAsiaTheme="minorEastAsia"/>
      <w:b/>
      <w:bCs/>
      <w:color w:val="1F3864" w:themeColor="accent1" w:themeShade="80"/>
      <w:sz w:val="56"/>
      <w:szCs w:val="56"/>
      <w:lang w:val="en-US" w:eastAsia="ja-JP"/>
    </w:rPr>
  </w:style>
  <w:style w:type="character" w:customStyle="1" w:styleId="Bold">
    <w:name w:val="Bold"/>
    <w:uiPriority w:val="1"/>
    <w:qFormat/>
    <w:rsid w:val="00E35FFF"/>
    <w:rPr>
      <w:b/>
      <w:bCs/>
    </w:rPr>
  </w:style>
  <w:style w:type="table" w:styleId="TableGrid">
    <w:name w:val="Table Grid"/>
    <w:basedOn w:val="TableNormal"/>
    <w:uiPriority w:val="39"/>
    <w:rsid w:val="00E3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AD"/>
    <w:rPr>
      <w:color w:val="0563C1" w:themeColor="hyperlink"/>
      <w:u w:val="single"/>
    </w:rPr>
  </w:style>
  <w:style w:type="character" w:styleId="UnresolvedMention">
    <w:name w:val="Unresolved Mention"/>
    <w:basedOn w:val="DefaultParagraphFont"/>
    <w:uiPriority w:val="99"/>
    <w:semiHidden/>
    <w:unhideWhenUsed/>
    <w:rsid w:val="00666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1852">
      <w:bodyDiv w:val="1"/>
      <w:marLeft w:val="0"/>
      <w:marRight w:val="0"/>
      <w:marTop w:val="0"/>
      <w:marBottom w:val="0"/>
      <w:divBdr>
        <w:top w:val="none" w:sz="0" w:space="0" w:color="auto"/>
        <w:left w:val="none" w:sz="0" w:space="0" w:color="auto"/>
        <w:bottom w:val="none" w:sz="0" w:space="0" w:color="auto"/>
        <w:right w:val="none" w:sz="0" w:space="0" w:color="auto"/>
      </w:divBdr>
      <w:divsChild>
        <w:div w:id="541021010">
          <w:marLeft w:val="547"/>
          <w:marRight w:val="0"/>
          <w:marTop w:val="0"/>
          <w:marBottom w:val="0"/>
          <w:divBdr>
            <w:top w:val="none" w:sz="0" w:space="0" w:color="auto"/>
            <w:left w:val="none" w:sz="0" w:space="0" w:color="auto"/>
            <w:bottom w:val="none" w:sz="0" w:space="0" w:color="auto"/>
            <w:right w:val="none" w:sz="0" w:space="0" w:color="auto"/>
          </w:divBdr>
        </w:div>
      </w:divsChild>
    </w:div>
    <w:div w:id="712659549">
      <w:bodyDiv w:val="1"/>
      <w:marLeft w:val="0"/>
      <w:marRight w:val="0"/>
      <w:marTop w:val="0"/>
      <w:marBottom w:val="0"/>
      <w:divBdr>
        <w:top w:val="none" w:sz="0" w:space="0" w:color="auto"/>
        <w:left w:val="none" w:sz="0" w:space="0" w:color="auto"/>
        <w:bottom w:val="none" w:sz="0" w:space="0" w:color="auto"/>
        <w:right w:val="none" w:sz="0" w:space="0" w:color="auto"/>
      </w:divBdr>
      <w:divsChild>
        <w:div w:id="2140686852">
          <w:marLeft w:val="547"/>
          <w:marRight w:val="0"/>
          <w:marTop w:val="0"/>
          <w:marBottom w:val="0"/>
          <w:divBdr>
            <w:top w:val="none" w:sz="0" w:space="0" w:color="auto"/>
            <w:left w:val="none" w:sz="0" w:space="0" w:color="auto"/>
            <w:bottom w:val="none" w:sz="0" w:space="0" w:color="auto"/>
            <w:right w:val="none" w:sz="0" w:space="0" w:color="auto"/>
          </w:divBdr>
        </w:div>
      </w:divsChild>
    </w:div>
    <w:div w:id="793450201">
      <w:bodyDiv w:val="1"/>
      <w:marLeft w:val="0"/>
      <w:marRight w:val="0"/>
      <w:marTop w:val="0"/>
      <w:marBottom w:val="0"/>
      <w:divBdr>
        <w:top w:val="none" w:sz="0" w:space="0" w:color="auto"/>
        <w:left w:val="none" w:sz="0" w:space="0" w:color="auto"/>
        <w:bottom w:val="none" w:sz="0" w:space="0" w:color="auto"/>
        <w:right w:val="none" w:sz="0" w:space="0" w:color="auto"/>
      </w:divBdr>
      <w:divsChild>
        <w:div w:id="530805526">
          <w:marLeft w:val="547"/>
          <w:marRight w:val="0"/>
          <w:marTop w:val="0"/>
          <w:marBottom w:val="0"/>
          <w:divBdr>
            <w:top w:val="none" w:sz="0" w:space="0" w:color="auto"/>
            <w:left w:val="none" w:sz="0" w:space="0" w:color="auto"/>
            <w:bottom w:val="none" w:sz="0" w:space="0" w:color="auto"/>
            <w:right w:val="none" w:sz="0" w:space="0" w:color="auto"/>
          </w:divBdr>
        </w:div>
      </w:divsChild>
    </w:div>
    <w:div w:id="1691102161">
      <w:bodyDiv w:val="1"/>
      <w:marLeft w:val="0"/>
      <w:marRight w:val="0"/>
      <w:marTop w:val="0"/>
      <w:marBottom w:val="0"/>
      <w:divBdr>
        <w:top w:val="none" w:sz="0" w:space="0" w:color="auto"/>
        <w:left w:val="none" w:sz="0" w:space="0" w:color="auto"/>
        <w:bottom w:val="none" w:sz="0" w:space="0" w:color="auto"/>
        <w:right w:val="none" w:sz="0" w:space="0" w:color="auto"/>
      </w:divBdr>
      <w:divsChild>
        <w:div w:id="1085303881">
          <w:marLeft w:val="547"/>
          <w:marRight w:val="0"/>
          <w:marTop w:val="0"/>
          <w:marBottom w:val="0"/>
          <w:divBdr>
            <w:top w:val="none" w:sz="0" w:space="0" w:color="auto"/>
            <w:left w:val="none" w:sz="0" w:space="0" w:color="auto"/>
            <w:bottom w:val="none" w:sz="0" w:space="0" w:color="auto"/>
            <w:right w:val="none" w:sz="0" w:space="0" w:color="auto"/>
          </w:divBdr>
        </w:div>
      </w:divsChild>
    </w:div>
    <w:div w:id="1944729973">
      <w:bodyDiv w:val="1"/>
      <w:marLeft w:val="0"/>
      <w:marRight w:val="0"/>
      <w:marTop w:val="0"/>
      <w:marBottom w:val="0"/>
      <w:divBdr>
        <w:top w:val="none" w:sz="0" w:space="0" w:color="auto"/>
        <w:left w:val="none" w:sz="0" w:space="0" w:color="auto"/>
        <w:bottom w:val="none" w:sz="0" w:space="0" w:color="auto"/>
        <w:right w:val="none" w:sz="0" w:space="0" w:color="auto"/>
      </w:divBdr>
      <w:divsChild>
        <w:div w:id="21197128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diagramData" Target="diagrams/data2.xml"/><Relationship Id="rId17" Type="http://schemas.openxmlformats.org/officeDocument/2006/relationships/hyperlink" Target="http://www.theglobalnowproject.com" TargetMode="Externa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diagramColors" Target="diagrams/colors2.xm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07D502-6C8D-4FA8-8261-891F274CFEF3}" type="doc">
      <dgm:prSet loTypeId="urn:microsoft.com/office/officeart/2005/8/layout/vList2" loCatId="list" qsTypeId="urn:microsoft.com/office/officeart/2005/8/quickstyle/simple3" qsCatId="simple" csTypeId="urn:microsoft.com/office/officeart/2005/8/colors/accent6_5" csCatId="accent6" phldr="1"/>
      <dgm:spPr/>
      <dgm:t>
        <a:bodyPr/>
        <a:lstStyle/>
        <a:p>
          <a:endParaRPr lang="en-US"/>
        </a:p>
      </dgm:t>
    </dgm:pt>
    <dgm:pt modelId="{61248696-8A82-4B35-8AB0-3F785135C330}">
      <dgm:prSet custT="1">
        <dgm:style>
          <a:lnRef idx="2">
            <a:schemeClr val="accent5"/>
          </a:lnRef>
          <a:fillRef idx="1">
            <a:schemeClr val="lt1"/>
          </a:fillRef>
          <a:effectRef idx="0">
            <a:schemeClr val="accent5"/>
          </a:effectRef>
          <a:fontRef idx="minor">
            <a:schemeClr val="dk1"/>
          </a:fontRef>
        </dgm:style>
      </dgm:prSet>
      <dgm:spPr>
        <a:ln w="19050">
          <a:solidFill>
            <a:srgbClr val="00B0F0"/>
          </a:solidFill>
        </a:ln>
      </dgm:spPr>
      <dgm:t>
        <a:bodyPr/>
        <a:lstStyle/>
        <a:p>
          <a:pPr algn="ctr"/>
          <a:r>
            <a:rPr lang="en-US" sz="1600" b="1"/>
            <a:t>The Resource Clearinghous maps mental health resources in one convenient database. The clearinghouse provides filters to explore a range of resource types, as well as a range of methods to search &amp; scroll through a comprehensive library of resources to easily find the resources you are after. </a:t>
          </a:r>
        </a:p>
      </dgm:t>
    </dgm:pt>
    <dgm:pt modelId="{38C95962-F512-4908-AC86-51519A8D6395}" type="sibTrans" cxnId="{D0836176-CE84-419C-B6F2-863FFC71ED51}">
      <dgm:prSet/>
      <dgm:spPr/>
      <dgm:t>
        <a:bodyPr/>
        <a:lstStyle/>
        <a:p>
          <a:endParaRPr lang="en-US"/>
        </a:p>
      </dgm:t>
    </dgm:pt>
    <dgm:pt modelId="{A241ED3B-A6E0-477D-9A11-7FC929523592}" type="parTrans" cxnId="{D0836176-CE84-419C-B6F2-863FFC71ED51}">
      <dgm:prSet/>
      <dgm:spPr/>
      <dgm:t>
        <a:bodyPr/>
        <a:lstStyle/>
        <a:p>
          <a:endParaRPr lang="en-US"/>
        </a:p>
      </dgm:t>
    </dgm:pt>
    <dgm:pt modelId="{9DE0EBC2-A604-4F14-9A44-84A0C76A8F24}" type="pres">
      <dgm:prSet presAssocID="{2707D502-6C8D-4FA8-8261-891F274CFEF3}" presName="linear" presStyleCnt="0">
        <dgm:presLayoutVars>
          <dgm:animLvl val="lvl"/>
          <dgm:resizeHandles val="exact"/>
        </dgm:presLayoutVars>
      </dgm:prSet>
      <dgm:spPr/>
    </dgm:pt>
    <dgm:pt modelId="{58778FB8-35D1-4B5D-9639-95DA89D2DF1E}" type="pres">
      <dgm:prSet presAssocID="{61248696-8A82-4B35-8AB0-3F785135C330}" presName="parentText" presStyleLbl="node1" presStyleIdx="0" presStyleCnt="1" custScaleY="547612" custLinFactY="-102694" custLinFactNeighborX="-67237" custLinFactNeighborY="-200000">
        <dgm:presLayoutVars>
          <dgm:chMax val="0"/>
          <dgm:bulletEnabled val="1"/>
        </dgm:presLayoutVars>
      </dgm:prSet>
      <dgm:spPr>
        <a:prstGeom prst="snip2DiagRect">
          <a:avLst/>
        </a:prstGeom>
      </dgm:spPr>
    </dgm:pt>
  </dgm:ptLst>
  <dgm:cxnLst>
    <dgm:cxn modelId="{F825A110-9AE4-4E45-A3DA-F92DE1891444}" type="presOf" srcId="{2707D502-6C8D-4FA8-8261-891F274CFEF3}" destId="{9DE0EBC2-A604-4F14-9A44-84A0C76A8F24}" srcOrd="0" destOrd="0" presId="urn:microsoft.com/office/officeart/2005/8/layout/vList2"/>
    <dgm:cxn modelId="{D0836176-CE84-419C-B6F2-863FFC71ED51}" srcId="{2707D502-6C8D-4FA8-8261-891F274CFEF3}" destId="{61248696-8A82-4B35-8AB0-3F785135C330}" srcOrd="0" destOrd="0" parTransId="{A241ED3B-A6E0-477D-9A11-7FC929523592}" sibTransId="{38C95962-F512-4908-AC86-51519A8D6395}"/>
    <dgm:cxn modelId="{80F39D89-19E1-4375-A581-8DCA3C9EC1CE}" type="presOf" srcId="{61248696-8A82-4B35-8AB0-3F785135C330}" destId="{58778FB8-35D1-4B5D-9639-95DA89D2DF1E}" srcOrd="0" destOrd="0" presId="urn:microsoft.com/office/officeart/2005/8/layout/vList2"/>
    <dgm:cxn modelId="{B8DEBB91-6D39-401B-B675-9089A62D854E}" type="presParOf" srcId="{9DE0EBC2-A604-4F14-9A44-84A0C76A8F24}" destId="{58778FB8-35D1-4B5D-9639-95DA89D2DF1E}" srcOrd="0" destOrd="0" presId="urn:microsoft.com/office/officeart/2005/8/layout/v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07D502-6C8D-4FA8-8261-891F274CFEF3}" type="doc">
      <dgm:prSet loTypeId="urn:microsoft.com/office/officeart/2005/8/layout/vList2" loCatId="list" qsTypeId="urn:microsoft.com/office/officeart/2005/8/quickstyle/simple3" qsCatId="simple" csTypeId="urn:microsoft.com/office/officeart/2005/8/colors/accent6_5" csCatId="accent6" phldr="1"/>
      <dgm:spPr/>
      <dgm:t>
        <a:bodyPr/>
        <a:lstStyle/>
        <a:p>
          <a:endParaRPr lang="en-US"/>
        </a:p>
      </dgm:t>
    </dgm:pt>
    <dgm:pt modelId="{61248696-8A82-4B35-8AB0-3F785135C330}">
      <dgm:prSet custT="1">
        <dgm:style>
          <a:lnRef idx="2">
            <a:schemeClr val="accent5"/>
          </a:lnRef>
          <a:fillRef idx="1">
            <a:schemeClr val="lt1"/>
          </a:fillRef>
          <a:effectRef idx="0">
            <a:schemeClr val="accent5"/>
          </a:effectRef>
          <a:fontRef idx="minor">
            <a:schemeClr val="dk1"/>
          </a:fontRef>
        </dgm:style>
      </dgm:prSet>
      <dgm:spPr>
        <a:ln w="19050">
          <a:solidFill>
            <a:srgbClr val="7030A0"/>
          </a:solidFill>
        </a:ln>
      </dgm:spPr>
      <dgm:t>
        <a:bodyPr/>
        <a:lstStyle/>
        <a:p>
          <a:pPr algn="ctr"/>
          <a:endParaRPr lang="en-US" sz="1600">
            <a:uFillTx/>
          </a:endParaRPr>
        </a:p>
        <a:p>
          <a:pPr algn="ctr"/>
          <a:r>
            <a:rPr lang="en-US" sz="1600">
              <a:uFillTx/>
            </a:rPr>
            <a:t>The Resource Clearinghous aims to form the foundations of a </a:t>
          </a:r>
          <a:r>
            <a:rPr lang="en-US" sz="1600" b="1">
              <a:uFillTx/>
            </a:rPr>
            <a:t>Global Literature Review </a:t>
          </a:r>
          <a:r>
            <a:rPr lang="en-US" sz="1600" b="0">
              <a:uFillTx/>
            </a:rPr>
            <a:t>&amp;</a:t>
          </a:r>
          <a:r>
            <a:rPr lang="en-US" sz="1600">
              <a:uFillTx/>
            </a:rPr>
            <a:t> bring a </a:t>
          </a:r>
          <a:r>
            <a:rPr lang="en-US" sz="1600" b="1">
              <a:uFillTx/>
            </a:rPr>
            <a:t>Consensus of Language </a:t>
          </a:r>
          <a:r>
            <a:rPr lang="en-US" sz="1600">
              <a:uFillTx/>
            </a:rPr>
            <a:t>in the mental health system. Resources will not only be displayed online in an easily searchable database, but also on universal </a:t>
          </a:r>
          <a:r>
            <a:rPr lang="en-US" sz="1600" b="1">
              <a:uFillTx/>
            </a:rPr>
            <a:t>USB sticks, </a:t>
          </a:r>
          <a:r>
            <a:rPr lang="en-US" sz="1600" b="0">
              <a:uFillTx/>
            </a:rPr>
            <a:t>so that all </a:t>
          </a:r>
          <a:r>
            <a:rPr lang="en-US" sz="1600">
              <a:uFillTx/>
            </a:rPr>
            <a:t>resources can be accessed in one convenient location.</a:t>
          </a:r>
          <a:r>
            <a:rPr lang="en-AU" sz="1600"/>
            <a:t> A</a:t>
          </a:r>
          <a:r>
            <a:rPr lang="en-US" sz="1600">
              <a:uFillTx/>
            </a:rPr>
            <a:t>n agency-like organisation will then be required to upload new resources as they are created so that they can be integrated into the database. This will  allow the 'resource USB sticks to be updated on a regular basis.</a:t>
          </a:r>
        </a:p>
        <a:p>
          <a:pPr algn="ctr"/>
          <a:endParaRPr lang="en-AU" sz="1600">
            <a:uFillTx/>
          </a:endParaRPr>
        </a:p>
      </dgm:t>
    </dgm:pt>
    <dgm:pt modelId="{38C95962-F512-4908-AC86-51519A8D6395}" type="sibTrans" cxnId="{D0836176-CE84-419C-B6F2-863FFC71ED51}">
      <dgm:prSet/>
      <dgm:spPr/>
      <dgm:t>
        <a:bodyPr/>
        <a:lstStyle/>
        <a:p>
          <a:endParaRPr lang="en-US"/>
        </a:p>
      </dgm:t>
    </dgm:pt>
    <dgm:pt modelId="{A241ED3B-A6E0-477D-9A11-7FC929523592}" type="parTrans" cxnId="{D0836176-CE84-419C-B6F2-863FFC71ED51}">
      <dgm:prSet/>
      <dgm:spPr/>
      <dgm:t>
        <a:bodyPr/>
        <a:lstStyle/>
        <a:p>
          <a:endParaRPr lang="en-US"/>
        </a:p>
      </dgm:t>
    </dgm:pt>
    <dgm:pt modelId="{9DE0EBC2-A604-4F14-9A44-84A0C76A8F24}" type="pres">
      <dgm:prSet presAssocID="{2707D502-6C8D-4FA8-8261-891F274CFEF3}" presName="linear" presStyleCnt="0">
        <dgm:presLayoutVars>
          <dgm:animLvl val="lvl"/>
          <dgm:resizeHandles val="exact"/>
        </dgm:presLayoutVars>
      </dgm:prSet>
      <dgm:spPr/>
    </dgm:pt>
    <dgm:pt modelId="{58778FB8-35D1-4B5D-9639-95DA89D2DF1E}" type="pres">
      <dgm:prSet presAssocID="{61248696-8A82-4B35-8AB0-3F785135C330}" presName="parentText" presStyleLbl="node1" presStyleIdx="0" presStyleCnt="1" custScaleY="322607" custLinFactNeighborX="-278" custLinFactNeighborY="-16880">
        <dgm:presLayoutVars>
          <dgm:chMax val="0"/>
          <dgm:bulletEnabled val="1"/>
        </dgm:presLayoutVars>
      </dgm:prSet>
      <dgm:spPr>
        <a:prstGeom prst="snip2DiagRect">
          <a:avLst/>
        </a:prstGeom>
      </dgm:spPr>
    </dgm:pt>
  </dgm:ptLst>
  <dgm:cxnLst>
    <dgm:cxn modelId="{F825A110-9AE4-4E45-A3DA-F92DE1891444}" type="presOf" srcId="{2707D502-6C8D-4FA8-8261-891F274CFEF3}" destId="{9DE0EBC2-A604-4F14-9A44-84A0C76A8F24}" srcOrd="0" destOrd="0" presId="urn:microsoft.com/office/officeart/2005/8/layout/vList2"/>
    <dgm:cxn modelId="{D0836176-CE84-419C-B6F2-863FFC71ED51}" srcId="{2707D502-6C8D-4FA8-8261-891F274CFEF3}" destId="{61248696-8A82-4B35-8AB0-3F785135C330}" srcOrd="0" destOrd="0" parTransId="{A241ED3B-A6E0-477D-9A11-7FC929523592}" sibTransId="{38C95962-F512-4908-AC86-51519A8D6395}"/>
    <dgm:cxn modelId="{80F39D89-19E1-4375-A581-8DCA3C9EC1CE}" type="presOf" srcId="{61248696-8A82-4B35-8AB0-3F785135C330}" destId="{58778FB8-35D1-4B5D-9639-95DA89D2DF1E}" srcOrd="0" destOrd="0" presId="urn:microsoft.com/office/officeart/2005/8/layout/vList2"/>
    <dgm:cxn modelId="{B8DEBB91-6D39-401B-B675-9089A62D854E}" type="presParOf" srcId="{9DE0EBC2-A604-4F14-9A44-84A0C76A8F24}" destId="{58778FB8-35D1-4B5D-9639-95DA89D2DF1E}" srcOrd="0" destOrd="0" presId="urn:microsoft.com/office/officeart/2005/8/layout/vList2"/>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778FB8-35D1-4B5D-9639-95DA89D2DF1E}">
      <dsp:nvSpPr>
        <dsp:cNvPr id="0" name=""/>
        <dsp:cNvSpPr/>
      </dsp:nvSpPr>
      <dsp:spPr>
        <a:xfrm>
          <a:off x="0" y="0"/>
          <a:ext cx="6870700" cy="1313166"/>
        </a:xfrm>
        <a:prstGeom prst="snip2DiagRect">
          <a:avLst/>
        </a:prstGeom>
        <a:solidFill>
          <a:schemeClr val="lt1"/>
        </a:solidFill>
        <a:ln w="19050" cap="flat" cmpd="sng" algn="ctr">
          <a:solidFill>
            <a:srgbClr val="00B0F0"/>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The Resource Clearinghous maps mental health resources in one convenient database. The clearinghouse provides filters to explore a range of resource types, as well as a range of methods to search &amp; scroll through a comprehensive library of resources to easily find the resources you are after. </a:t>
          </a:r>
        </a:p>
      </dsp:txBody>
      <dsp:txXfrm>
        <a:off x="109433" y="109433"/>
        <a:ext cx="6651834" cy="10943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778FB8-35D1-4B5D-9639-95DA89D2DF1E}">
      <dsp:nvSpPr>
        <dsp:cNvPr id="0" name=""/>
        <dsp:cNvSpPr/>
      </dsp:nvSpPr>
      <dsp:spPr>
        <a:xfrm>
          <a:off x="0" y="0"/>
          <a:ext cx="6851650" cy="1846045"/>
        </a:xfrm>
        <a:prstGeom prst="snip2DiagRect">
          <a:avLst/>
        </a:prstGeom>
        <a:solidFill>
          <a:schemeClr val="lt1"/>
        </a:solidFill>
        <a:ln w="19050" cap="flat" cmpd="sng" algn="ctr">
          <a:solidFill>
            <a:srgbClr val="7030A0"/>
          </a:solidFill>
          <a:prstDash val="solid"/>
          <a:miter lim="800000"/>
        </a:ln>
        <a:effectLst/>
        <a:scene3d>
          <a:camera prst="orthographicFront"/>
          <a:lightRig rig="flat" dir="t"/>
        </a:scene3d>
        <a:sp3d/>
      </dsp:spPr>
      <dsp:style>
        <a:lnRef idx="2">
          <a:schemeClr val="accent5"/>
        </a:lnRef>
        <a:fillRef idx="1">
          <a:schemeClr val="lt1"/>
        </a:fillRef>
        <a:effectRef idx="0">
          <a:schemeClr val="accent5"/>
        </a:effectRef>
        <a:fontRef idx="minor">
          <a:schemeClr val="dk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uFillTx/>
          </a:endParaRPr>
        </a:p>
        <a:p>
          <a:pPr marL="0" lvl="0" indent="0" algn="ctr" defTabSz="711200">
            <a:lnSpc>
              <a:spcPct val="90000"/>
            </a:lnSpc>
            <a:spcBef>
              <a:spcPct val="0"/>
            </a:spcBef>
            <a:spcAft>
              <a:spcPct val="35000"/>
            </a:spcAft>
            <a:buNone/>
          </a:pPr>
          <a:r>
            <a:rPr lang="en-US" sz="1600" kern="1200">
              <a:uFillTx/>
            </a:rPr>
            <a:t>The Resource Clearinghous aims to form the foundations of a </a:t>
          </a:r>
          <a:r>
            <a:rPr lang="en-US" sz="1600" b="1" kern="1200">
              <a:uFillTx/>
            </a:rPr>
            <a:t>Global Literature Review </a:t>
          </a:r>
          <a:r>
            <a:rPr lang="en-US" sz="1600" b="0" kern="1200">
              <a:uFillTx/>
            </a:rPr>
            <a:t>&amp;</a:t>
          </a:r>
          <a:r>
            <a:rPr lang="en-US" sz="1600" kern="1200">
              <a:uFillTx/>
            </a:rPr>
            <a:t> bring a </a:t>
          </a:r>
          <a:r>
            <a:rPr lang="en-US" sz="1600" b="1" kern="1200">
              <a:uFillTx/>
            </a:rPr>
            <a:t>Consensus of Language </a:t>
          </a:r>
          <a:r>
            <a:rPr lang="en-US" sz="1600" kern="1200">
              <a:uFillTx/>
            </a:rPr>
            <a:t>in the mental health system. Resources will not only be displayed online in an easily searchable database, but also on universal </a:t>
          </a:r>
          <a:r>
            <a:rPr lang="en-US" sz="1600" b="1" kern="1200">
              <a:uFillTx/>
            </a:rPr>
            <a:t>USB sticks, </a:t>
          </a:r>
          <a:r>
            <a:rPr lang="en-US" sz="1600" b="0" kern="1200">
              <a:uFillTx/>
            </a:rPr>
            <a:t>so that all </a:t>
          </a:r>
          <a:r>
            <a:rPr lang="en-US" sz="1600" kern="1200">
              <a:uFillTx/>
            </a:rPr>
            <a:t>resources can be accessed in one convenient location.</a:t>
          </a:r>
          <a:r>
            <a:rPr lang="en-AU" sz="1600" kern="1200"/>
            <a:t> A</a:t>
          </a:r>
          <a:r>
            <a:rPr lang="en-US" sz="1600" kern="1200">
              <a:uFillTx/>
            </a:rPr>
            <a:t>n agency-like organisation will then be required to upload new resources as they are created so that they can be integrated into the database. This will  allow the 'resource USB sticks to be updated on a regular basis.</a:t>
          </a:r>
        </a:p>
        <a:p>
          <a:pPr marL="0" lvl="0" indent="0" algn="ctr" defTabSz="711200">
            <a:lnSpc>
              <a:spcPct val="90000"/>
            </a:lnSpc>
            <a:spcBef>
              <a:spcPct val="0"/>
            </a:spcBef>
            <a:spcAft>
              <a:spcPct val="35000"/>
            </a:spcAft>
            <a:buNone/>
          </a:pPr>
          <a:endParaRPr lang="en-AU" sz="1600" kern="1200">
            <a:uFillTx/>
          </a:endParaRPr>
        </a:p>
      </dsp:txBody>
      <dsp:txXfrm>
        <a:off x="153840" y="153840"/>
        <a:ext cx="6543970" cy="153836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7</cp:revision>
  <dcterms:created xsi:type="dcterms:W3CDTF">2021-11-21T10:22:00Z</dcterms:created>
  <dcterms:modified xsi:type="dcterms:W3CDTF">2022-01-03T09:49:00Z</dcterms:modified>
</cp:coreProperties>
</file>